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3E12" w14:textId="486F9E13" w:rsidR="004E0AE8" w:rsidRPr="00276C55" w:rsidRDefault="00584B1C" w:rsidP="00276C55">
      <w:pPr>
        <w:spacing w:after="0" w:line="240" w:lineRule="auto"/>
        <w:jc w:val="center"/>
        <w:rPr>
          <w:u w:val="single"/>
        </w:rPr>
      </w:pPr>
      <w:r w:rsidRPr="00276C55">
        <w:rPr>
          <w:b/>
          <w:bCs/>
          <w:u w:val="single"/>
        </w:rPr>
        <w:t xml:space="preserve">Health Care Spending </w:t>
      </w:r>
      <w:proofErr w:type="gramStart"/>
      <w:r w:rsidRPr="00276C55">
        <w:rPr>
          <w:b/>
          <w:bCs/>
          <w:u w:val="single"/>
        </w:rPr>
        <w:t>Account</w:t>
      </w:r>
      <w:r w:rsidR="00276C55" w:rsidRPr="00276C55">
        <w:rPr>
          <w:b/>
          <w:bCs/>
          <w:u w:val="single"/>
        </w:rPr>
        <w:t xml:space="preserve"> </w:t>
      </w:r>
      <w:r w:rsidR="007F3101">
        <w:rPr>
          <w:b/>
          <w:bCs/>
          <w:u w:val="single"/>
        </w:rPr>
        <w:t xml:space="preserve"> –</w:t>
      </w:r>
      <w:proofErr w:type="gramEnd"/>
      <w:r w:rsidR="0099306E">
        <w:rPr>
          <w:b/>
          <w:bCs/>
          <w:u w:val="single"/>
        </w:rPr>
        <w:t xml:space="preserve"> </w:t>
      </w:r>
      <w:r w:rsidR="007F3101">
        <w:rPr>
          <w:b/>
          <w:bCs/>
          <w:u w:val="single"/>
        </w:rPr>
        <w:t xml:space="preserve">ADMIN </w:t>
      </w:r>
    </w:p>
    <w:p w14:paraId="6F75FEF6" w14:textId="04CA6890" w:rsidR="004E0AE8" w:rsidRDefault="004E0AE8" w:rsidP="008A2BBB">
      <w:pPr>
        <w:spacing w:after="0" w:line="240" w:lineRule="auto"/>
      </w:pPr>
    </w:p>
    <w:p w14:paraId="656BB674" w14:textId="737F55F9" w:rsidR="0099306E" w:rsidRDefault="0099306E" w:rsidP="0099306E">
      <w:pPr>
        <w:spacing w:after="0" w:line="240" w:lineRule="auto"/>
      </w:pPr>
      <w:r>
        <w:t>As part of your VIU benefit plan, you now have access to a Health Care Spending Account (HCSA) effective January 1, 2024, with an annual entitlement of $280 per employee, single or family. If you are hired after July 1 or have an appointment of less than six months, you will be entitled to $140 for the current year. If you have an extension to your appointment and the duration is greater than 6 months, you will receive a second deposit of $140.00 for a total of $280.00 for the current year.</w:t>
      </w:r>
    </w:p>
    <w:p w14:paraId="7043751A" w14:textId="77777777" w:rsidR="0099306E" w:rsidRDefault="0099306E" w:rsidP="0099306E">
      <w:pPr>
        <w:spacing w:after="0" w:line="240" w:lineRule="auto"/>
      </w:pPr>
    </w:p>
    <w:p w14:paraId="0955CD73" w14:textId="43BAE64A" w:rsidR="00625A9D" w:rsidRDefault="00625A9D" w:rsidP="008A2BBB">
      <w:pPr>
        <w:spacing w:after="0" w:line="240" w:lineRule="auto"/>
      </w:pPr>
      <w:r>
        <w:t xml:space="preserve">Your eligibility </w:t>
      </w:r>
      <w:r w:rsidR="00A2471A">
        <w:t>for</w:t>
      </w:r>
      <w:r>
        <w:t xml:space="preserve"> HCSA benefits </w:t>
      </w:r>
      <w:r w:rsidR="00A2471A">
        <w:t xml:space="preserve">will take effect on the same day as your Extended Health Care (EHC) and Dental benefits become effective. </w:t>
      </w:r>
      <w:r>
        <w:t xml:space="preserve">If you cease to be eligible for EHC and Dental, you will no longer be entitled to </w:t>
      </w:r>
      <w:r w:rsidR="00B148D8">
        <w:t xml:space="preserve">the </w:t>
      </w:r>
      <w:r>
        <w:t xml:space="preserve">HCSA. Upon cessation of coverage, you may claim for expenses incurred prior to </w:t>
      </w:r>
      <w:r w:rsidR="00276C55">
        <w:t>termination, which</w:t>
      </w:r>
      <w:r>
        <w:t xml:space="preserve"> must be claimed within 90 days.</w:t>
      </w:r>
    </w:p>
    <w:p w14:paraId="15651994" w14:textId="77777777" w:rsidR="00625A9D" w:rsidRDefault="00625A9D" w:rsidP="008A2BBB">
      <w:pPr>
        <w:spacing w:after="0" w:line="240" w:lineRule="auto"/>
      </w:pPr>
    </w:p>
    <w:p w14:paraId="73A5D702" w14:textId="5D7984BA" w:rsidR="00CC589C" w:rsidRDefault="00CC589C" w:rsidP="008A2BBB">
      <w:pPr>
        <w:spacing w:after="0" w:line="240" w:lineRule="auto"/>
      </w:pPr>
      <w:r>
        <w:t>Your HCSA provides flexibility to claim amounts over and above what is covered by your core Extended Health (EHC) and Dental plans, including:</w:t>
      </w:r>
    </w:p>
    <w:p w14:paraId="3C3659D8" w14:textId="0FD132DE" w:rsidR="00CC589C" w:rsidRDefault="00CC589C" w:rsidP="008A2BBB">
      <w:pPr>
        <w:pStyle w:val="ListParagraph"/>
        <w:numPr>
          <w:ilvl w:val="0"/>
          <w:numId w:val="4"/>
        </w:numPr>
      </w:pPr>
      <w:r>
        <w:t>top-up of claims eligible under EHC</w:t>
      </w:r>
      <w:r w:rsidR="00A6699C">
        <w:t xml:space="preserve"> or Dental, </w:t>
      </w:r>
      <w:r>
        <w:t>but not paid at 100% due to deductibles, coinsurance and</w:t>
      </w:r>
      <w:r w:rsidR="00036BDE">
        <w:t>/or</w:t>
      </w:r>
      <w:r>
        <w:t xml:space="preserve"> maximums, and</w:t>
      </w:r>
    </w:p>
    <w:p w14:paraId="0C217F86" w14:textId="679925A5" w:rsidR="00CC589C" w:rsidRDefault="00CC589C" w:rsidP="008A2BBB">
      <w:pPr>
        <w:pStyle w:val="ListParagraph"/>
        <w:numPr>
          <w:ilvl w:val="0"/>
          <w:numId w:val="4"/>
        </w:numPr>
      </w:pPr>
      <w:r>
        <w:t xml:space="preserve">expenses that qualify under the Medical Expense Tax Credit for income tax </w:t>
      </w:r>
      <w:proofErr w:type="gramStart"/>
      <w:r>
        <w:t>purposes, but</w:t>
      </w:r>
      <w:proofErr w:type="gramEnd"/>
      <w:r>
        <w:t xml:space="preserve"> are not covered by EHC</w:t>
      </w:r>
      <w:r w:rsidR="00A6699C">
        <w:t xml:space="preserve"> or Dental</w:t>
      </w:r>
      <w:r>
        <w:t>.  A list of eligible expenses may be found here:</w:t>
      </w:r>
    </w:p>
    <w:p w14:paraId="7C25F92A" w14:textId="77777777" w:rsidR="00CC589C" w:rsidRDefault="002F4F67" w:rsidP="008A2BBB">
      <w:pPr>
        <w:spacing w:after="0" w:line="240" w:lineRule="auto"/>
        <w:ind w:firstLine="720"/>
      </w:pPr>
      <w:hyperlink r:id="rId7" w:anchor="mdcl_xpns" w:history="1">
        <w:r w:rsidR="00CC589C">
          <w:rPr>
            <w:rStyle w:val="Hyperlink"/>
          </w:rPr>
          <w:t>Lines 33099 and 33199 – Eligible medical expenses you can claim on your tax return - Canada.ca</w:t>
        </w:r>
      </w:hyperlink>
    </w:p>
    <w:p w14:paraId="25F480DC" w14:textId="177B2787" w:rsidR="00986DAE" w:rsidRDefault="00986DAE" w:rsidP="008A2BBB">
      <w:pPr>
        <w:spacing w:after="0" w:line="240" w:lineRule="auto"/>
      </w:pPr>
      <w:r>
        <w:t>Please refer to the</w:t>
      </w:r>
      <w:r w:rsidR="00971F0A">
        <w:t xml:space="preserve"> following</w:t>
      </w:r>
      <w:r>
        <w:t xml:space="preserve"> brochure for </w:t>
      </w:r>
      <w:r w:rsidR="002A0DC4">
        <w:t xml:space="preserve">further details:  </w:t>
      </w:r>
      <w:r>
        <w:t xml:space="preserve">  </w:t>
      </w:r>
    </w:p>
    <w:p w14:paraId="7A879FFE" w14:textId="501682E6" w:rsidR="0013659A" w:rsidRDefault="002F4F67" w:rsidP="008A2BBB">
      <w:pPr>
        <w:spacing w:after="0" w:line="240" w:lineRule="auto"/>
      </w:pPr>
      <w:hyperlink r:id="rId8" w:history="1">
        <w:r w:rsidR="0013659A">
          <w:rPr>
            <w:rStyle w:val="Hyperlink"/>
          </w:rPr>
          <w:t>HCSA Plan Member Guide - Credit Carryover with COB</w:t>
        </w:r>
      </w:hyperlink>
    </w:p>
    <w:p w14:paraId="009F9ADA" w14:textId="77777777" w:rsidR="009B1E76" w:rsidRDefault="009B1E76" w:rsidP="008A2BBB">
      <w:pPr>
        <w:spacing w:after="0" w:line="240" w:lineRule="auto"/>
      </w:pPr>
    </w:p>
    <w:p w14:paraId="1FFC8FD9" w14:textId="3A195B94" w:rsidR="00986DAE" w:rsidRDefault="00EB3E6B" w:rsidP="008A2BBB">
      <w:pPr>
        <w:spacing w:after="0" w:line="240" w:lineRule="auto"/>
        <w:rPr>
          <w:b/>
          <w:bCs/>
        </w:rPr>
      </w:pPr>
      <w:r>
        <w:t xml:space="preserve">The plan year </w:t>
      </w:r>
      <w:r w:rsidR="00E07650">
        <w:t xml:space="preserve">is </w:t>
      </w:r>
      <w:r w:rsidR="00CE2AB6">
        <w:t>based on</w:t>
      </w:r>
      <w:r w:rsidR="00E07650">
        <w:t xml:space="preserve"> the calendar year. </w:t>
      </w:r>
      <w:r w:rsidR="00986DAE">
        <w:t xml:space="preserve"> </w:t>
      </w:r>
      <w:r w:rsidR="00986DAE" w:rsidRPr="00986DAE">
        <w:rPr>
          <w:b/>
          <w:bCs/>
        </w:rPr>
        <w:t xml:space="preserve">In order to align with Canada Revenue Agency rules, </w:t>
      </w:r>
      <w:r w:rsidR="004E0AE8">
        <w:rPr>
          <w:b/>
          <w:bCs/>
        </w:rPr>
        <w:t xml:space="preserve">funds credited for </w:t>
      </w:r>
      <w:r w:rsidR="00E07650">
        <w:rPr>
          <w:b/>
          <w:bCs/>
        </w:rPr>
        <w:t xml:space="preserve">any calendar year may be used for expenses incurred during that calendar </w:t>
      </w:r>
      <w:proofErr w:type="gramStart"/>
      <w:r w:rsidR="00E07650">
        <w:rPr>
          <w:b/>
          <w:bCs/>
        </w:rPr>
        <w:t>year, or</w:t>
      </w:r>
      <w:proofErr w:type="gramEnd"/>
      <w:r w:rsidR="00E07650">
        <w:rPr>
          <w:b/>
          <w:bCs/>
        </w:rPr>
        <w:t xml:space="preserve"> may be carried forward and used to cover expenses incurred during the subsequent calendar year. Claims must be submitted within </w:t>
      </w:r>
      <w:r w:rsidR="00A86AE9">
        <w:rPr>
          <w:b/>
          <w:bCs/>
        </w:rPr>
        <w:t>60</w:t>
      </w:r>
      <w:r w:rsidR="00E07650">
        <w:rPr>
          <w:b/>
          <w:bCs/>
        </w:rPr>
        <w:t xml:space="preserve"> days of year end</w:t>
      </w:r>
      <w:r w:rsidR="00CF57AF">
        <w:rPr>
          <w:b/>
          <w:bCs/>
        </w:rPr>
        <w:t>.</w:t>
      </w:r>
    </w:p>
    <w:p w14:paraId="589BDE45" w14:textId="77777777" w:rsidR="00426A2D" w:rsidRDefault="00426A2D" w:rsidP="008A2BBB">
      <w:pPr>
        <w:spacing w:after="0" w:line="240" w:lineRule="auto"/>
      </w:pPr>
    </w:p>
    <w:p w14:paraId="156EA4A8" w14:textId="7AFC94C4" w:rsidR="00CF57AF" w:rsidRPr="004C23EE" w:rsidRDefault="00CF57AF" w:rsidP="008A2BBB">
      <w:pPr>
        <w:spacing w:after="0" w:line="240" w:lineRule="auto"/>
        <w:rPr>
          <w:i/>
          <w:iCs/>
        </w:rPr>
      </w:pPr>
      <w:r w:rsidRPr="004C23EE">
        <w:rPr>
          <w:i/>
          <w:iCs/>
        </w:rPr>
        <w:t xml:space="preserve">For example:  </w:t>
      </w:r>
      <w:r w:rsidR="00426A2D">
        <w:rPr>
          <w:i/>
          <w:iCs/>
        </w:rPr>
        <w:t>Your</w:t>
      </w:r>
      <w:r w:rsidR="0019129E">
        <w:rPr>
          <w:i/>
          <w:iCs/>
        </w:rPr>
        <w:t xml:space="preserve"> </w:t>
      </w:r>
      <w:r w:rsidRPr="004C23EE">
        <w:rPr>
          <w:i/>
          <w:iCs/>
        </w:rPr>
        <w:t>202</w:t>
      </w:r>
      <w:r w:rsidR="00904230">
        <w:rPr>
          <w:i/>
          <w:iCs/>
        </w:rPr>
        <w:t>4</w:t>
      </w:r>
      <w:r w:rsidR="00C17209">
        <w:rPr>
          <w:i/>
          <w:iCs/>
        </w:rPr>
        <w:t xml:space="preserve"> </w:t>
      </w:r>
      <w:r w:rsidR="0019129E">
        <w:rPr>
          <w:i/>
          <w:iCs/>
        </w:rPr>
        <w:t>entitlement</w:t>
      </w:r>
      <w:r w:rsidRPr="004C23EE">
        <w:rPr>
          <w:i/>
          <w:iCs/>
        </w:rPr>
        <w:t xml:space="preserve"> may be used to claim expenses incurred between </w:t>
      </w:r>
      <w:r w:rsidR="00A2471A">
        <w:rPr>
          <w:i/>
          <w:iCs/>
        </w:rPr>
        <w:t>the date your coverage takes effect</w:t>
      </w:r>
      <w:r w:rsidRPr="004C23EE">
        <w:rPr>
          <w:i/>
          <w:iCs/>
        </w:rPr>
        <w:t xml:space="preserve"> and December 31/</w:t>
      </w:r>
      <w:r w:rsidR="00904230">
        <w:rPr>
          <w:i/>
          <w:iCs/>
        </w:rPr>
        <w:t xml:space="preserve">25.  </w:t>
      </w:r>
      <w:r w:rsidR="0019129E">
        <w:rPr>
          <w:i/>
          <w:iCs/>
        </w:rPr>
        <w:t xml:space="preserve">Any amount credited for </w:t>
      </w:r>
      <w:r w:rsidR="00C17209">
        <w:rPr>
          <w:i/>
          <w:iCs/>
        </w:rPr>
        <w:t>202</w:t>
      </w:r>
      <w:r w:rsidR="00A86AE9">
        <w:rPr>
          <w:i/>
          <w:iCs/>
        </w:rPr>
        <w:t>4</w:t>
      </w:r>
      <w:r w:rsidR="0019129E">
        <w:rPr>
          <w:i/>
          <w:iCs/>
        </w:rPr>
        <w:t xml:space="preserve"> that is not used by the end of 20</w:t>
      </w:r>
      <w:r w:rsidR="00C17209">
        <w:rPr>
          <w:i/>
          <w:iCs/>
        </w:rPr>
        <w:t>2</w:t>
      </w:r>
      <w:r w:rsidR="00A86AE9">
        <w:rPr>
          <w:i/>
          <w:iCs/>
        </w:rPr>
        <w:t>5</w:t>
      </w:r>
      <w:r w:rsidR="0019129E">
        <w:rPr>
          <w:i/>
          <w:iCs/>
        </w:rPr>
        <w:t xml:space="preserve"> w</w:t>
      </w:r>
      <w:r w:rsidRPr="004C23EE">
        <w:rPr>
          <w:i/>
          <w:iCs/>
        </w:rPr>
        <w:t>ill forfeit.  Claims incurred in 202</w:t>
      </w:r>
      <w:r w:rsidR="00A86AE9">
        <w:rPr>
          <w:i/>
          <w:iCs/>
        </w:rPr>
        <w:t>4</w:t>
      </w:r>
      <w:r w:rsidRPr="004C23EE">
        <w:rPr>
          <w:i/>
          <w:iCs/>
        </w:rPr>
        <w:t xml:space="preserve"> must be submitted by </w:t>
      </w:r>
      <w:r w:rsidR="00A86AE9">
        <w:rPr>
          <w:i/>
          <w:iCs/>
        </w:rPr>
        <w:t xml:space="preserve">March 1, </w:t>
      </w:r>
      <w:r w:rsidR="00B148D8">
        <w:rPr>
          <w:i/>
          <w:iCs/>
        </w:rPr>
        <w:t>2025,</w:t>
      </w:r>
      <w:r w:rsidR="00CE2AB6">
        <w:rPr>
          <w:i/>
          <w:iCs/>
        </w:rPr>
        <w:t xml:space="preserve"> </w:t>
      </w:r>
      <w:r w:rsidR="00B148D8">
        <w:rPr>
          <w:i/>
          <w:iCs/>
        </w:rPr>
        <w:t>to</w:t>
      </w:r>
      <w:r w:rsidR="00CE2AB6">
        <w:rPr>
          <w:i/>
          <w:iCs/>
        </w:rPr>
        <w:t xml:space="preserve"> be eligible for payment.</w:t>
      </w:r>
    </w:p>
    <w:p w14:paraId="77CBD648" w14:textId="77777777" w:rsidR="00CF57AF" w:rsidRDefault="00CF57AF" w:rsidP="008A2BBB">
      <w:pPr>
        <w:spacing w:after="0" w:line="240" w:lineRule="auto"/>
      </w:pPr>
    </w:p>
    <w:p w14:paraId="364EFE5C" w14:textId="3442625C" w:rsidR="0013659A" w:rsidRDefault="000C76EA" w:rsidP="008A2BBB">
      <w:pPr>
        <w:spacing w:after="0" w:line="240" w:lineRule="auto"/>
      </w:pPr>
      <w:r w:rsidRPr="000C76EA">
        <w:rPr>
          <w:b/>
          <w:bCs/>
          <w:u w:val="single"/>
        </w:rPr>
        <w:t>Please note:</w:t>
      </w:r>
      <w:r>
        <w:t xml:space="preserve"> </w:t>
      </w:r>
      <w:r w:rsidR="0013659A">
        <w:t xml:space="preserve">If you have Coordination of Benefits with a spousal plan, you </w:t>
      </w:r>
      <w:r w:rsidR="0013659A" w:rsidRPr="000C76EA">
        <w:rPr>
          <w:u w:val="single"/>
        </w:rPr>
        <w:t>must</w:t>
      </w:r>
      <w:r w:rsidR="0013659A">
        <w:t xml:space="preserve"> claim through both Core EHC/Dental benefits under your </w:t>
      </w:r>
      <w:r w:rsidR="008A2BBB">
        <w:t>VIU</w:t>
      </w:r>
      <w:r w:rsidR="0013659A">
        <w:t xml:space="preserve"> plan, and</w:t>
      </w:r>
      <w:r w:rsidR="008A2BBB">
        <w:t xml:space="preserve"> through</w:t>
      </w:r>
      <w:r w:rsidR="0013659A">
        <w:t xml:space="preserve"> your spouse’s plan, before you may access funds in your HCSA.</w:t>
      </w:r>
    </w:p>
    <w:p w14:paraId="5E92EBBF" w14:textId="77777777" w:rsidR="0013659A" w:rsidRDefault="0013659A" w:rsidP="008A2BBB">
      <w:pPr>
        <w:spacing w:after="0" w:line="240" w:lineRule="auto"/>
      </w:pPr>
    </w:p>
    <w:p w14:paraId="3883A461" w14:textId="0F80E30C" w:rsidR="00986DAE" w:rsidRDefault="00986DAE" w:rsidP="008A2BBB">
      <w:pPr>
        <w:spacing w:after="0" w:line="240" w:lineRule="auto"/>
      </w:pPr>
      <w:r>
        <w:t xml:space="preserve">To submit a claim </w:t>
      </w:r>
      <w:r w:rsidR="003C74FD">
        <w:t xml:space="preserve">using </w:t>
      </w:r>
      <w:r w:rsidR="004C23EE">
        <w:t>your Spending Account</w:t>
      </w:r>
      <w:r>
        <w:t>, select the applicable option at the start of the online claim submission process:</w:t>
      </w:r>
    </w:p>
    <w:p w14:paraId="75CD35BA" w14:textId="7C14CD6C" w:rsidR="00986DAE" w:rsidRDefault="0019129E" w:rsidP="008A2BBB">
      <w:pPr>
        <w:spacing w:after="0" w:line="240" w:lineRule="auto"/>
      </w:pPr>
      <w:r>
        <w:rPr>
          <w:noProof/>
        </w:rPr>
        <w:drawing>
          <wp:inline distT="0" distB="0" distL="0" distR="0" wp14:anchorId="476D8971" wp14:editId="7B516175">
            <wp:extent cx="5943600" cy="1403985"/>
            <wp:effectExtent l="19050" t="19050" r="19050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3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31D6F2" w14:textId="2CFF3C72" w:rsidR="00986DAE" w:rsidRDefault="00986DAE" w:rsidP="008A2BBB">
      <w:pPr>
        <w:spacing w:after="0" w:line="240" w:lineRule="auto"/>
      </w:pPr>
    </w:p>
    <w:p w14:paraId="6360E770" w14:textId="77777777" w:rsidR="00B4200F" w:rsidRDefault="00B4200F" w:rsidP="008A2BBB">
      <w:pPr>
        <w:spacing w:after="0" w:line="240" w:lineRule="auto"/>
      </w:pPr>
    </w:p>
    <w:p w14:paraId="27C3B91C" w14:textId="3C69C5CC" w:rsidR="00986DAE" w:rsidRDefault="00CF57AF" w:rsidP="008A2BBB">
      <w:pPr>
        <w:spacing w:after="0" w:line="240" w:lineRule="auto"/>
      </w:pPr>
      <w:r>
        <w:t>To claim top up from HCSA f</w:t>
      </w:r>
      <w:r w:rsidR="00EB3E6B">
        <w:t xml:space="preserve">or </w:t>
      </w:r>
      <w:r w:rsidR="00986DAE">
        <w:t xml:space="preserve">claims submitted directly by providers, </w:t>
      </w:r>
      <w:r w:rsidR="009A3E8A">
        <w:t xml:space="preserve">click on the </w:t>
      </w:r>
      <w:r w:rsidR="00C51698">
        <w:t xml:space="preserve">dollar sign in the second column from the far right on </w:t>
      </w:r>
      <w:r w:rsidR="009A3E8A">
        <w:t xml:space="preserve">the </w:t>
      </w:r>
      <w:r w:rsidR="00EB3E6B">
        <w:t>Manulife plan member</w:t>
      </w:r>
      <w:r w:rsidR="00450503">
        <w:t xml:space="preserve"> site</w:t>
      </w:r>
      <w:r w:rsidR="00C51698">
        <w:t xml:space="preserve">: </w:t>
      </w:r>
    </w:p>
    <w:p w14:paraId="1B401D14" w14:textId="77777777" w:rsidR="0000595C" w:rsidRDefault="0000595C" w:rsidP="008A2BBB">
      <w:pPr>
        <w:spacing w:after="0" w:line="240" w:lineRule="auto"/>
      </w:pPr>
    </w:p>
    <w:p w14:paraId="18147E76" w14:textId="1EF0D0CE" w:rsidR="00B359E3" w:rsidRDefault="00196919" w:rsidP="008A2BBB">
      <w:pPr>
        <w:spacing w:after="0" w:line="240" w:lineRule="auto"/>
      </w:pPr>
      <w:r>
        <w:rPr>
          <w:noProof/>
        </w:rPr>
        <w:drawing>
          <wp:inline distT="0" distB="0" distL="0" distR="0" wp14:anchorId="178726BC" wp14:editId="701C1CE2">
            <wp:extent cx="5943600" cy="798195"/>
            <wp:effectExtent l="19050" t="19050" r="19050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1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ACC0450" w14:textId="2F4A635A" w:rsidR="009A3E8A" w:rsidRDefault="009A3E8A" w:rsidP="008A2BBB">
      <w:pPr>
        <w:spacing w:after="0" w:line="240" w:lineRule="auto"/>
        <w:rPr>
          <w:b/>
          <w:bCs/>
        </w:rPr>
      </w:pPr>
    </w:p>
    <w:p w14:paraId="40D5EA84" w14:textId="77812E21" w:rsidR="00C51698" w:rsidRDefault="00C51698" w:rsidP="008A2BBB">
      <w:pPr>
        <w:spacing w:after="0" w:line="240" w:lineRule="auto"/>
      </w:pPr>
      <w:r>
        <w:t>The following window will then pop up.  Check the box for “send the unpaid part of this claim to my HCSA” and submit.</w:t>
      </w:r>
    </w:p>
    <w:p w14:paraId="20106FBD" w14:textId="77777777" w:rsidR="00C51698" w:rsidRDefault="00C51698" w:rsidP="008A2BBB">
      <w:pPr>
        <w:spacing w:after="0" w:line="240" w:lineRule="auto"/>
      </w:pPr>
    </w:p>
    <w:p w14:paraId="338B994A" w14:textId="7A24D693" w:rsidR="00C51698" w:rsidRPr="00A82A16" w:rsidRDefault="00A82A16" w:rsidP="008A2BBB">
      <w:pPr>
        <w:spacing w:after="0"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7248C035" wp14:editId="04FF241A">
            <wp:extent cx="5943600" cy="2024380"/>
            <wp:effectExtent l="19050" t="19050" r="19050" b="139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43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77BFAF" w14:textId="1901E3C9" w:rsidR="009A3E8A" w:rsidRDefault="009A3E8A" w:rsidP="008A2BBB">
      <w:pPr>
        <w:spacing w:after="0" w:line="240" w:lineRule="auto"/>
        <w:rPr>
          <w:b/>
          <w:bCs/>
        </w:rPr>
      </w:pPr>
    </w:p>
    <w:p w14:paraId="788C47FE" w14:textId="65444244" w:rsidR="009A3E8A" w:rsidRDefault="009A3E8A" w:rsidP="008A2BBB">
      <w:pPr>
        <w:spacing w:after="0" w:line="240" w:lineRule="auto"/>
      </w:pPr>
      <w:r w:rsidRPr="009A3E8A">
        <w:t xml:space="preserve">At any time, you can check </w:t>
      </w:r>
      <w:r w:rsidR="00EB3E6B">
        <w:t>your</w:t>
      </w:r>
      <w:r w:rsidRPr="009A3E8A">
        <w:t xml:space="preserve"> remaining balance</w:t>
      </w:r>
      <w:r w:rsidR="006D5BB9">
        <w:t xml:space="preserve"> for the current plan year</w:t>
      </w:r>
      <w:r w:rsidRPr="009A3E8A">
        <w:t xml:space="preserve"> by clicking the “Coverage and Balances” tab in the middle of the home page, and then selecting “HCSA”</w:t>
      </w:r>
      <w:r>
        <w:t>, as shown here:</w:t>
      </w:r>
    </w:p>
    <w:p w14:paraId="06AF1CE6" w14:textId="77777777" w:rsidR="00B359E3" w:rsidRPr="009A3E8A" w:rsidRDefault="00B359E3" w:rsidP="008A2BBB">
      <w:pPr>
        <w:spacing w:after="0" w:line="240" w:lineRule="auto"/>
      </w:pPr>
    </w:p>
    <w:p w14:paraId="298D0206" w14:textId="371585D8" w:rsidR="009A3E8A" w:rsidRDefault="009A3E8A" w:rsidP="008A2BBB">
      <w:pPr>
        <w:spacing w:after="0"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6868A0BA" wp14:editId="3A1A97EB">
            <wp:extent cx="5943600" cy="1632585"/>
            <wp:effectExtent l="19050" t="19050" r="19050" b="247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25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BC8376" w14:textId="48DD9269" w:rsidR="009A3E8A" w:rsidRDefault="009A3E8A" w:rsidP="008A2BBB">
      <w:pPr>
        <w:spacing w:after="0" w:line="240" w:lineRule="auto"/>
        <w:rPr>
          <w:b/>
          <w:bCs/>
        </w:rPr>
      </w:pPr>
    </w:p>
    <w:p w14:paraId="7746B470" w14:textId="3C1342B7" w:rsidR="009A3E8A" w:rsidRPr="009A3E8A" w:rsidRDefault="009A3E8A" w:rsidP="008A2BBB">
      <w:pPr>
        <w:spacing w:after="0" w:line="240" w:lineRule="auto"/>
      </w:pPr>
      <w:r w:rsidRPr="009A3E8A">
        <w:t xml:space="preserve">If you have any questions regarding the </w:t>
      </w:r>
      <w:r w:rsidR="0019129E">
        <w:t>Health Care Spending Account</w:t>
      </w:r>
      <w:r w:rsidR="00CF57AF">
        <w:t xml:space="preserve"> </w:t>
      </w:r>
      <w:r w:rsidRPr="009A3E8A">
        <w:t>rules, eligible expenses or how to submit claims, please contact Manulife Group Benefits Customer Service at 1-800-</w:t>
      </w:r>
      <w:r w:rsidR="008A2BBB">
        <w:t>575-2200</w:t>
      </w:r>
      <w:r w:rsidRPr="009A3E8A">
        <w:t>.</w:t>
      </w:r>
    </w:p>
    <w:p w14:paraId="29B2128D" w14:textId="2F7E7A93" w:rsidR="009A3E8A" w:rsidRDefault="009A3E8A" w:rsidP="00986DAE">
      <w:pPr>
        <w:spacing w:after="0" w:line="240" w:lineRule="auto"/>
        <w:rPr>
          <w:b/>
          <w:bCs/>
        </w:rPr>
      </w:pPr>
    </w:p>
    <w:p w14:paraId="22311A98" w14:textId="77777777" w:rsidR="009A3E8A" w:rsidRPr="009A3E8A" w:rsidRDefault="009A3E8A" w:rsidP="00986DAE">
      <w:pPr>
        <w:spacing w:after="0" w:line="240" w:lineRule="auto"/>
        <w:rPr>
          <w:b/>
          <w:bCs/>
        </w:rPr>
      </w:pPr>
    </w:p>
    <w:p w14:paraId="0A29D1B2" w14:textId="77777777" w:rsidR="0013659A" w:rsidRPr="009A3E8A" w:rsidRDefault="0013659A">
      <w:pPr>
        <w:spacing w:after="0" w:line="240" w:lineRule="auto"/>
        <w:rPr>
          <w:b/>
          <w:bCs/>
        </w:rPr>
      </w:pPr>
    </w:p>
    <w:sectPr w:rsidR="0013659A" w:rsidRPr="009A3E8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F9B1" w14:textId="77777777" w:rsidR="00AA2B9B" w:rsidRDefault="00AA2B9B" w:rsidP="009A3E8A">
      <w:pPr>
        <w:spacing w:after="0" w:line="240" w:lineRule="auto"/>
      </w:pPr>
      <w:r>
        <w:separator/>
      </w:r>
    </w:p>
  </w:endnote>
  <w:endnote w:type="continuationSeparator" w:id="0">
    <w:p w14:paraId="43A443D5" w14:textId="77777777" w:rsidR="00AA2B9B" w:rsidRDefault="00AA2B9B" w:rsidP="009A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8409" w14:textId="1417E273" w:rsidR="009A3E8A" w:rsidRDefault="009A3E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35710F8" wp14:editId="7D71B84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5" name="MSIPCMbad74e0a8d23836866ec7a09" descr="{&quot;HashCode&quot;:22185954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BBF488" w14:textId="2CC45644" w:rsidR="009A3E8A" w:rsidRPr="009A3E8A" w:rsidRDefault="009A3E8A" w:rsidP="009A3E8A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35710F8" id="_x0000_t202" coordsize="21600,21600" o:spt="202" path="m,l,21600r21600,l21600,xe">
              <v:stroke joinstyle="miter"/>
              <v:path gradientshapeok="t" o:connecttype="rect"/>
            </v:shapetype>
            <v:shape id="MSIPCMbad74e0a8d23836866ec7a09" o:spid="_x0000_s1026" type="#_x0000_t202" alt="{&quot;HashCode&quot;:22185954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rUWEw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" o:allowincell="f" filled="f" stroked="f" strokeweight=".5pt">
              <v:textbox inset=",0,,0">
                <w:txbxContent>
                  <w:p w14:paraId="48BBF488" w14:textId="2CC45644" w:rsidR="009A3E8A" w:rsidRPr="009A3E8A" w:rsidRDefault="009A3E8A" w:rsidP="009A3E8A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CAE0" w14:textId="77777777" w:rsidR="00AA2B9B" w:rsidRDefault="00AA2B9B" w:rsidP="009A3E8A">
      <w:pPr>
        <w:spacing w:after="0" w:line="240" w:lineRule="auto"/>
      </w:pPr>
      <w:r>
        <w:separator/>
      </w:r>
    </w:p>
  </w:footnote>
  <w:footnote w:type="continuationSeparator" w:id="0">
    <w:p w14:paraId="1B94DA80" w14:textId="77777777" w:rsidR="00AA2B9B" w:rsidRDefault="00AA2B9B" w:rsidP="009A3E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5919"/>
    <w:multiLevelType w:val="multilevel"/>
    <w:tmpl w:val="AB9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65188F"/>
    <w:multiLevelType w:val="hybridMultilevel"/>
    <w:tmpl w:val="938043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AD07E0"/>
    <w:multiLevelType w:val="hybridMultilevel"/>
    <w:tmpl w:val="A168B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14E4C"/>
    <w:multiLevelType w:val="hybridMultilevel"/>
    <w:tmpl w:val="0C162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DAE"/>
    <w:rsid w:val="0000595C"/>
    <w:rsid w:val="00036BDE"/>
    <w:rsid w:val="000A2C0D"/>
    <w:rsid w:val="000C76EA"/>
    <w:rsid w:val="00102514"/>
    <w:rsid w:val="001052FF"/>
    <w:rsid w:val="0013659A"/>
    <w:rsid w:val="0019129E"/>
    <w:rsid w:val="00196919"/>
    <w:rsid w:val="001C107E"/>
    <w:rsid w:val="001E1A1E"/>
    <w:rsid w:val="0026016B"/>
    <w:rsid w:val="00276C55"/>
    <w:rsid w:val="002A0DC4"/>
    <w:rsid w:val="002D3B48"/>
    <w:rsid w:val="002F4F67"/>
    <w:rsid w:val="003133B4"/>
    <w:rsid w:val="00352BEB"/>
    <w:rsid w:val="003712E9"/>
    <w:rsid w:val="003A3684"/>
    <w:rsid w:val="003C74FD"/>
    <w:rsid w:val="003F18A2"/>
    <w:rsid w:val="003F1CA2"/>
    <w:rsid w:val="00426A2D"/>
    <w:rsid w:val="00450503"/>
    <w:rsid w:val="004C23EE"/>
    <w:rsid w:val="004E0AE8"/>
    <w:rsid w:val="00584495"/>
    <w:rsid w:val="00584B1C"/>
    <w:rsid w:val="005A7F4F"/>
    <w:rsid w:val="00625A9D"/>
    <w:rsid w:val="00646490"/>
    <w:rsid w:val="00656C75"/>
    <w:rsid w:val="006D5BB9"/>
    <w:rsid w:val="007D45B7"/>
    <w:rsid w:val="007F3101"/>
    <w:rsid w:val="008264EC"/>
    <w:rsid w:val="008A2BBB"/>
    <w:rsid w:val="008B393A"/>
    <w:rsid w:val="00904230"/>
    <w:rsid w:val="009268CE"/>
    <w:rsid w:val="00963A07"/>
    <w:rsid w:val="00971F0A"/>
    <w:rsid w:val="00986DAE"/>
    <w:rsid w:val="0099306E"/>
    <w:rsid w:val="009A3E8A"/>
    <w:rsid w:val="009B1E76"/>
    <w:rsid w:val="009C2716"/>
    <w:rsid w:val="00A2471A"/>
    <w:rsid w:val="00A513CC"/>
    <w:rsid w:val="00A5482F"/>
    <w:rsid w:val="00A6699C"/>
    <w:rsid w:val="00A82A16"/>
    <w:rsid w:val="00A86AE9"/>
    <w:rsid w:val="00AA2B9B"/>
    <w:rsid w:val="00AE5220"/>
    <w:rsid w:val="00B148D8"/>
    <w:rsid w:val="00B359E3"/>
    <w:rsid w:val="00B4200F"/>
    <w:rsid w:val="00C12F05"/>
    <w:rsid w:val="00C158F9"/>
    <w:rsid w:val="00C17209"/>
    <w:rsid w:val="00C3229D"/>
    <w:rsid w:val="00C51698"/>
    <w:rsid w:val="00CC589C"/>
    <w:rsid w:val="00CD1E28"/>
    <w:rsid w:val="00CE2AB6"/>
    <w:rsid w:val="00CF57AF"/>
    <w:rsid w:val="00D75BE3"/>
    <w:rsid w:val="00E07650"/>
    <w:rsid w:val="00E151F7"/>
    <w:rsid w:val="00E47572"/>
    <w:rsid w:val="00EB3E6B"/>
    <w:rsid w:val="00EC1930"/>
    <w:rsid w:val="00EC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EC531"/>
  <w15:chartTrackingRefBased/>
  <w15:docId w15:val="{BD2785AF-691D-4721-ABBD-C9CB0465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6D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6DAE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A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E8A"/>
  </w:style>
  <w:style w:type="paragraph" w:styleId="Footer">
    <w:name w:val="footer"/>
    <w:basedOn w:val="Normal"/>
    <w:link w:val="FooterChar"/>
    <w:uiPriority w:val="99"/>
    <w:unhideWhenUsed/>
    <w:rsid w:val="009A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E8A"/>
  </w:style>
  <w:style w:type="character" w:styleId="CommentReference">
    <w:name w:val="annotation reference"/>
    <w:basedOn w:val="DefaultParagraphFont"/>
    <w:uiPriority w:val="99"/>
    <w:semiHidden/>
    <w:unhideWhenUsed/>
    <w:rsid w:val="00CF5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7A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2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sharecan1.seismic.com/i/oLwxsfXHC1JJhiomlMCn0ra4xbFNyqdk92C2fgc6X7kAz0LvsUgEFBqpUPXBPN0UlwRBqWpda___pxYWpq2UYjLPvZsKnqoAnj1oTXYPLUSSIGNvQKvH52qyAOLrk2zM9mIYhwgB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nada.ca/en/revenue-agency/services/tax/individuals/topics/about-your-tax-return/tax-return/completing-a-tax-return/deductions-credits-expenses/lines-33099-33199-eligible-medical-expenses-you-claim-on-your-tax-return.htm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Tomkins</dc:creator>
  <cp:keywords/>
  <dc:description/>
  <cp:lastModifiedBy>Dana Swarts</cp:lastModifiedBy>
  <cp:revision>2</cp:revision>
  <dcterms:created xsi:type="dcterms:W3CDTF">2024-05-13T22:22:00Z</dcterms:created>
  <dcterms:modified xsi:type="dcterms:W3CDTF">2024-05-13T22:22:00Z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aa860-6a65-4942-a19a-0478291725e1_Enabled">
    <vt:lpwstr>true</vt:lpwstr>
  </property>
  <property fmtid="{D5CDD505-2E9C-101B-9397-08002B2CF9AE}" pid="3" name="MSIP_Label_3c9aa860-6a65-4942-a19a-0478291725e1_SetDate">
    <vt:lpwstr>2022-07-26T13:15:18Z</vt:lpwstr>
  </property>
  <property fmtid="{D5CDD505-2E9C-101B-9397-08002B2CF9AE}" pid="4" name="MSIP_Label_3c9aa860-6a65-4942-a19a-0478291725e1_Method">
    <vt:lpwstr>Privileged</vt:lpwstr>
  </property>
  <property fmtid="{D5CDD505-2E9C-101B-9397-08002B2CF9AE}" pid="5" name="MSIP_Label_3c9aa860-6a65-4942-a19a-0478291725e1_Name">
    <vt:lpwstr>CONFIDENTIAL</vt:lpwstr>
  </property>
  <property fmtid="{D5CDD505-2E9C-101B-9397-08002B2CF9AE}" pid="6" name="MSIP_Label_3c9aa860-6a65-4942-a19a-0478291725e1_SiteId">
    <vt:lpwstr>5d3e2773-e07f-4432-a630-1a0f68a28a05</vt:lpwstr>
  </property>
  <property fmtid="{D5CDD505-2E9C-101B-9397-08002B2CF9AE}" pid="7" name="MSIP_Label_3c9aa860-6a65-4942-a19a-0478291725e1_ActionId">
    <vt:lpwstr>89408953-4729-4bce-973f-e1bd4483db61</vt:lpwstr>
  </property>
  <property fmtid="{D5CDD505-2E9C-101B-9397-08002B2CF9AE}" pid="8" name="MSIP_Label_3c9aa860-6a65-4942-a19a-0478291725e1_ContentBits">
    <vt:lpwstr>2</vt:lpwstr>
  </property>
</Properties>
</file>